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rPr/>
      </w:pPr>
      <w:r>
        <w:rPr>
          <w:rStyle w:val="Strong"/>
          <w:rFonts w:ascii="PT Astra Serif" w:hAnsi="PT Astra Serif"/>
          <w:b/>
          <w:bCs/>
          <w:i w:val="false"/>
          <w:caps w:val="false"/>
          <w:smallCaps w:val="false"/>
          <w:sz w:val="26"/>
          <w:szCs w:val="26"/>
        </w:rPr>
        <w:t xml:space="preserve">Профилактика </w:t>
      </w:r>
      <w:r>
        <w:rPr>
          <w:rStyle w:val="Strong"/>
          <w:rFonts w:ascii="PT Astra Serif" w:hAnsi="PT Astra Serif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effect w:val="none"/>
        </w:rPr>
        <w:t>хронических неинфекционных заболеваний (ХНИЗ)</w:t>
      </w:r>
      <w:r>
        <w:rPr>
          <w:rStyle w:val="Strong"/>
          <w:rFonts w:ascii="PT Astra Serif" w:hAnsi="PT Astra Serif"/>
          <w:b/>
          <w:bCs/>
          <w:i w:val="false"/>
          <w:caps w:val="false"/>
          <w:smallCaps w:val="false"/>
          <w:sz w:val="26"/>
          <w:szCs w:val="26"/>
        </w:rPr>
        <w:t xml:space="preserve"> — забота о себе</w:t>
      </w:r>
    </w:p>
    <w:p>
      <w:pPr>
        <w:pStyle w:val="Normal"/>
        <w:bidi w:val="0"/>
        <w:rPr>
          <w:rStyle w:val="Strong"/>
          <w:rFonts w:ascii="PT Astra Serif" w:hAnsi="PT Astra Serif"/>
          <w:b/>
          <w:bCs/>
          <w:i w:val="false"/>
          <w:caps w:val="false"/>
          <w:smallCaps w:val="false"/>
          <w:sz w:val="24"/>
          <w:szCs w:val="24"/>
        </w:rPr>
      </w:pPr>
      <w:r>
        <w:rPr/>
      </w:r>
    </w:p>
    <w:p>
      <w:pPr>
        <w:pStyle w:val="Normal"/>
        <w:bidi w:val="0"/>
        <w:rPr>
          <w:rStyle w:val="Strong"/>
          <w:rFonts w:ascii="PT Astra Serif" w:hAnsi="PT Astra Serif"/>
          <w:b/>
          <w:bCs/>
          <w:i w:val="false"/>
          <w:caps w:val="false"/>
          <w:smallCaps w:val="false"/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43625" cy="3136265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13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rPr>
          <w:rStyle w:val="Strong"/>
          <w:rFonts w:ascii="PT Astra Serif" w:hAnsi="PT Astra Serif"/>
          <w:b/>
          <w:bCs/>
          <w:i w:val="false"/>
          <w:caps w:val="false"/>
          <w:smallCaps w:val="false"/>
          <w:sz w:val="24"/>
          <w:szCs w:val="24"/>
        </w:rPr>
      </w:pPr>
      <w:r>
        <w:rPr/>
      </w:r>
    </w:p>
    <w:p>
      <w:pPr>
        <w:pStyle w:val="Normal"/>
        <w:bidi w:val="0"/>
        <w:spacing w:lineRule="auto" w:line="240"/>
        <w:ind w:firstLine="567" w:start="283" w:end="0"/>
        <w:jc w:val="both"/>
        <w:rPr/>
      </w:pPr>
      <w:r>
        <w:rPr>
          <w:rStyle w:val="Strong"/>
          <w:rFonts w:ascii="PT Astra Serif" w:hAnsi="PT Astra Serif"/>
          <w:b/>
          <w:bCs/>
          <w:i w:val="false"/>
          <w:caps w:val="false"/>
          <w:smallCaps w:val="false"/>
          <w:sz w:val="24"/>
          <w:szCs w:val="24"/>
        </w:rPr>
        <w:t>Хронические неинфекционные заболевания (ХНИЗ)</w:t>
      </w:r>
      <w:r>
        <w:rPr>
          <w:rFonts w:ascii="PT Astra Serif" w:hAnsi="PT Astra Serif"/>
          <w:b/>
          <w:bCs/>
          <w:i w:val="false"/>
          <w:caps w:val="false"/>
          <w:smallCaps w:val="false"/>
          <w:sz w:val="24"/>
          <w:szCs w:val="24"/>
        </w:rPr>
        <w:t> —</w:t>
      </w:r>
      <w:r>
        <w:rPr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 xml:space="preserve"> это группа заболеваний, которые имеют длительное течение и могут приводить к серьёзным последствиям для здоровья. Они возникают в результате воздействия генетических, физиологических, экологических и поведенческих факторов.</w:t>
      </w:r>
    </w:p>
    <w:p>
      <w:pPr>
        <w:pStyle w:val="Normal"/>
        <w:bidi w:val="0"/>
        <w:spacing w:lineRule="atLeast" w:line="330" w:before="0" w:after="120"/>
        <w:ind w:firstLine="567" w:start="283" w:end="57"/>
        <w:jc w:val="both"/>
        <w:rPr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</w:pPr>
      <w:r>
        <w:rPr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По данным Всемирной организации здравоохранения, на долю ХНИЗ приходится около 70% всех смертей в мире.</w:t>
      </w:r>
    </w:p>
    <w:p>
      <w:pPr>
        <w:pStyle w:val="BodyText"/>
        <w:bidi w:val="0"/>
        <w:spacing w:lineRule="auto" w:line="240" w:before="0" w:after="0"/>
        <w:ind w:firstLine="567" w:start="283" w:end="0"/>
        <w:jc w:val="both"/>
        <w:rPr>
          <w:b/>
          <w:bCs/>
          <w:i w:val="false"/>
          <w:caps w:val="false"/>
          <w:smallCaps w:val="false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"/>
        <w:bidi w:val="0"/>
        <w:spacing w:lineRule="auto" w:line="240" w:before="0" w:after="0"/>
        <w:ind w:firstLine="567" w:start="283" w:end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bCs/>
          <w:i w:val="false"/>
          <w:caps w:val="false"/>
          <w:smallCaps w:val="false"/>
          <w:sz w:val="24"/>
          <w:szCs w:val="24"/>
        </w:rPr>
        <w:t>О</w:t>
      </w:r>
      <w:r>
        <w:rPr>
          <w:rFonts w:ascii="PT Astra Serif" w:hAnsi="PT Astra Serif"/>
          <w:b/>
          <w:bCs/>
          <w:i w:val="false"/>
          <w:caps w:val="false"/>
          <w:smallCaps w:val="false"/>
          <w:sz w:val="24"/>
          <w:szCs w:val="24"/>
        </w:rPr>
        <w:t xml:space="preserve">сновные </w:t>
      </w:r>
      <w:r>
        <w:rPr>
          <w:rFonts w:ascii="PT Astra Serif" w:hAnsi="PT Astra Serif"/>
          <w:b/>
          <w:bCs/>
          <w:i w:val="false"/>
          <w:caps w:val="false"/>
          <w:smallCaps w:val="false"/>
          <w:sz w:val="24"/>
          <w:szCs w:val="24"/>
        </w:rPr>
        <w:t xml:space="preserve">виды </w:t>
      </w:r>
      <w:r>
        <w:rPr>
          <w:rFonts w:ascii="PT Astra Serif" w:hAnsi="PT Astra Serif"/>
          <w:b/>
          <w:bCs/>
          <w:i w:val="false"/>
          <w:caps w:val="false"/>
          <w:smallCaps w:val="false"/>
          <w:sz w:val="24"/>
          <w:szCs w:val="24"/>
        </w:rPr>
        <w:t>ХНИЗ:</w:t>
      </w:r>
    </w:p>
    <w:p>
      <w:pPr>
        <w:pStyle w:val="BodyText"/>
        <w:numPr>
          <w:ilvl w:val="0"/>
          <w:numId w:val="4"/>
        </w:numPr>
        <w:pBdr/>
        <w:tabs>
          <w:tab w:val="clear" w:pos="709"/>
          <w:tab w:val="left" w:pos="283" w:leader="none"/>
        </w:tabs>
        <w:bidi w:val="0"/>
        <w:spacing w:lineRule="auto" w:line="240" w:before="0" w:after="0"/>
        <w:ind w:firstLine="284" w:start="283" w:end="0"/>
        <w:jc w:val="both"/>
        <w:rPr/>
      </w:pP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Болезни системы кровообращения</w:t>
      </w:r>
      <w:r>
        <w:rPr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: гипертония, ишемическая болезнь сердца, инсульт.</w:t>
      </w:r>
    </w:p>
    <w:p>
      <w:pPr>
        <w:pStyle w:val="BodyText"/>
        <w:numPr>
          <w:ilvl w:val="0"/>
          <w:numId w:val="4"/>
        </w:numPr>
        <w:pBdr/>
        <w:tabs>
          <w:tab w:val="clear" w:pos="709"/>
          <w:tab w:val="left" w:pos="283" w:leader="none"/>
        </w:tabs>
        <w:bidi w:val="0"/>
        <w:spacing w:lineRule="auto" w:line="240" w:before="0" w:after="0"/>
        <w:ind w:firstLine="284" w:start="283" w:end="0"/>
        <w:jc w:val="both"/>
        <w:rPr/>
      </w:pP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Злокачественные новообразования</w:t>
      </w:r>
      <w:r>
        <w:rPr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: рак лёгких, груди, кишечника и других органов.</w:t>
      </w:r>
    </w:p>
    <w:p>
      <w:pPr>
        <w:pStyle w:val="BodyText"/>
        <w:numPr>
          <w:ilvl w:val="0"/>
          <w:numId w:val="4"/>
        </w:numPr>
        <w:pBdr/>
        <w:tabs>
          <w:tab w:val="clear" w:pos="709"/>
          <w:tab w:val="left" w:pos="283" w:leader="none"/>
        </w:tabs>
        <w:bidi w:val="0"/>
        <w:spacing w:lineRule="auto" w:line="240" w:before="0" w:after="0"/>
        <w:ind w:firstLine="284" w:start="283" w:end="0"/>
        <w:jc w:val="both"/>
        <w:rPr/>
      </w:pP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Болезни органов дыхания</w:t>
      </w:r>
      <w:r>
        <w:rPr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: хроническая обструктивная болезнь лёгких (ХОБЛ), астма.</w:t>
      </w:r>
    </w:p>
    <w:p>
      <w:pPr>
        <w:pStyle w:val="BodyText"/>
        <w:numPr>
          <w:ilvl w:val="0"/>
          <w:numId w:val="4"/>
        </w:numPr>
        <w:pBdr/>
        <w:tabs>
          <w:tab w:val="clear" w:pos="709"/>
          <w:tab w:val="left" w:pos="283" w:leader="none"/>
        </w:tabs>
        <w:bidi w:val="0"/>
        <w:spacing w:lineRule="auto" w:line="240" w:before="0" w:after="0"/>
        <w:ind w:firstLine="284" w:start="283" w:end="0"/>
        <w:jc w:val="both"/>
        <w:rPr/>
      </w:pP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Сахарный диабет</w:t>
      </w:r>
      <w:r>
        <w:rPr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: как 1-го, так и 2-го типа.</w:t>
      </w:r>
    </w:p>
    <w:p>
      <w:pPr>
        <w:pStyle w:val="BodyText"/>
        <w:bidi w:val="0"/>
        <w:spacing w:lineRule="atLeast" w:line="330" w:before="0" w:after="120"/>
        <w:ind w:hanging="0" w:start="0" w:end="60"/>
        <w:rPr>
          <w:rFonts w:ascii="PT Astra Serif" w:hAnsi="PT Astra Serif"/>
          <w:caps w:val="false"/>
          <w:smallCaps w:val="false"/>
          <w:sz w:val="24"/>
          <w:szCs w:val="24"/>
        </w:rPr>
      </w:pPr>
      <w:r>
        <w:rPr/>
      </w:r>
    </w:p>
    <w:p>
      <w:pPr>
        <w:pStyle w:val="BodyText"/>
        <w:bidi w:val="0"/>
        <w:spacing w:lineRule="auto" w:line="240" w:before="0" w:after="0"/>
        <w:ind w:firstLine="567" w:start="283" w:end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bCs/>
          <w:i w:val="false"/>
          <w:caps w:val="false"/>
          <w:smallCaps w:val="false"/>
          <w:sz w:val="24"/>
          <w:szCs w:val="24"/>
        </w:rPr>
        <w:t>Ф</w:t>
      </w:r>
      <w:r>
        <w:rPr>
          <w:rFonts w:ascii="PT Astra Serif" w:hAnsi="PT Astra Serif"/>
          <w:b/>
          <w:bCs/>
          <w:i w:val="false"/>
          <w:caps w:val="false"/>
          <w:smallCaps w:val="false"/>
          <w:sz w:val="24"/>
          <w:szCs w:val="24"/>
        </w:rPr>
        <w:t>акторы, которые повышают риск развития ХНИЗ: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283" w:leader="none"/>
        </w:tabs>
        <w:bidi w:val="0"/>
        <w:spacing w:lineRule="auto" w:line="240" w:before="0" w:after="0"/>
        <w:ind w:firstLine="284" w:start="283" w:end="0"/>
        <w:jc w:val="both"/>
        <w:rPr/>
      </w:pP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Курение</w:t>
      </w:r>
      <w:r>
        <w:rPr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.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283" w:leader="none"/>
        </w:tabs>
        <w:bidi w:val="0"/>
        <w:spacing w:lineRule="auto" w:line="240" w:before="0" w:after="0"/>
        <w:ind w:firstLine="284" w:start="283" w:end="0"/>
        <w:jc w:val="both"/>
        <w:rPr/>
      </w:pP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Несбалансированное питание</w:t>
      </w:r>
      <w:r>
        <w:rPr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: избыточное потребление насыщенных жиров, трансжиров, сахара и соли, недостаточное потребление пищевых волокон, витаминов и минералов.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283" w:leader="none"/>
        </w:tabs>
        <w:bidi w:val="0"/>
        <w:spacing w:lineRule="auto" w:line="240" w:before="0" w:after="0"/>
        <w:ind w:firstLine="284" w:start="283" w:end="0"/>
        <w:jc w:val="both"/>
        <w:rPr/>
      </w:pP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Низкая физическая активность</w:t>
      </w:r>
      <w:r>
        <w:rPr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.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283" w:leader="none"/>
        </w:tabs>
        <w:bidi w:val="0"/>
        <w:spacing w:lineRule="auto" w:line="240" w:before="0" w:after="0"/>
        <w:ind w:firstLine="284" w:start="283" w:end="0"/>
        <w:jc w:val="both"/>
        <w:rPr/>
      </w:pP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Избыточное потребление алкоголя</w:t>
      </w:r>
      <w:r>
        <w:rPr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.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283" w:leader="none"/>
        </w:tabs>
        <w:bidi w:val="0"/>
        <w:spacing w:lineRule="auto" w:line="240" w:before="0" w:after="0"/>
        <w:ind w:firstLine="284" w:start="283" w:end="0"/>
        <w:jc w:val="both"/>
        <w:rPr/>
      </w:pP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Артериальная гипертензия</w:t>
      </w:r>
      <w:r>
        <w:rPr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 — независимый фактор риска развития инсульта, инфаркта миокарда и хронической почечной недостаточности.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283" w:leader="none"/>
        </w:tabs>
        <w:bidi w:val="0"/>
        <w:spacing w:lineRule="auto" w:line="240" w:before="0" w:after="0"/>
        <w:ind w:firstLine="284" w:start="283" w:end="0"/>
        <w:jc w:val="both"/>
        <w:rPr/>
      </w:pP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Гиперхолестеринемия</w:t>
      </w:r>
      <w:r>
        <w:rPr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 — повышенный уровень холестерина в крови способствует развитию атеросклероза и ассоциированных с ним сердечно-сосудистых заболеваний.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283" w:leader="none"/>
        </w:tabs>
        <w:bidi w:val="0"/>
        <w:spacing w:lineRule="auto" w:line="240" w:before="0" w:after="0"/>
        <w:ind w:firstLine="284" w:start="283" w:end="0"/>
        <w:jc w:val="both"/>
        <w:rPr/>
      </w:pP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Ожирение</w:t>
      </w:r>
      <w:r>
        <w:rPr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 — состояние, характеризующееся избыточным накоплением жировой ткани и повышающее риск развития сахарного диабета, сердечно-сосудистых заболеваний и некоторых форм рака.</w:t>
      </w:r>
    </w:p>
    <w:p>
      <w:pPr>
        <w:sectPr>
          <w:type w:val="nextPage"/>
          <w:pgSz w:w="11906" w:h="16838"/>
          <w:pgMar w:left="1134" w:right="572" w:gutter="0" w:header="0" w:top="1134" w:footer="0" w:bottom="1134"/>
          <w:pgNumType w:fmt="none"/>
          <w:formProt w:val="false"/>
          <w:textDirection w:val="lrTb"/>
          <w:docGrid w:type="default" w:linePitch="600" w:charSpace="24576"/>
        </w:sectPr>
        <w:pStyle w:val="BodyText"/>
        <w:bidi w:val="0"/>
        <w:spacing w:lineRule="atLeast" w:line="330" w:before="0" w:after="120"/>
        <w:ind w:hanging="0" w:start="0" w:end="60"/>
        <w:rPr>
          <w:rFonts w:ascii="PT Astra Serif" w:hAnsi="PT Astra Serif"/>
          <w:caps w:val="false"/>
          <w:smallCaps w:val="false"/>
          <w:sz w:val="24"/>
          <w:szCs w:val="24"/>
        </w:rPr>
      </w:pPr>
      <w:r>
        <w:rPr/>
      </w:r>
    </w:p>
    <w:p>
      <w:pPr>
        <w:pStyle w:val="Heading2"/>
        <w:keepNext w:val="false"/>
        <w:bidi w:val="0"/>
        <w:spacing w:lineRule="auto" w:line="240" w:before="0" w:after="0"/>
        <w:ind w:firstLine="567" w:start="283" w:end="0"/>
        <w:jc w:val="star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Heading2"/>
        <w:bidi w:val="0"/>
        <w:spacing w:lineRule="auto" w:line="240" w:before="0" w:after="0"/>
        <w:ind w:firstLine="567" w:start="283" w:end="0"/>
        <w:jc w:val="star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Диагностика </w:t>
      </w:r>
      <w:r>
        <w:rPr>
          <w:rFonts w:ascii="PT Astra Serif" w:hAnsi="PT Astra Serif"/>
          <w:sz w:val="24"/>
          <w:szCs w:val="24"/>
        </w:rPr>
        <w:t>ХНИЗ</w:t>
      </w:r>
    </w:p>
    <w:p>
      <w:pPr>
        <w:pStyle w:val="BodyText"/>
        <w:bidi w:val="0"/>
        <w:spacing w:lineRule="auto" w:line="240" w:before="0" w:after="0"/>
        <w:ind w:firstLine="567" w:start="283" w:end="57"/>
        <w:jc w:val="both"/>
        <w:rPr/>
      </w:pP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Диагностика хронических неинфекционных заболеваний (ХНИЗ)</w:t>
      </w:r>
      <w:r>
        <w:rPr>
          <w:rFonts w:ascii="PT Astra Serif" w:hAnsi="PT Astra 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 включает в себя ряд мероприятий, направленных на раннее выявление заболеваний и факторов риска их развития. </w:t>
      </w:r>
    </w:p>
    <w:p>
      <w:pPr>
        <w:pStyle w:val="BodyText"/>
        <w:bidi w:val="0"/>
        <w:spacing w:lineRule="auto" w:line="240" w:before="0" w:after="0"/>
        <w:ind w:firstLine="567" w:start="283" w:end="57"/>
        <w:jc w:val="both"/>
        <w:rPr>
          <w:rFonts w:ascii="PT Astra Serif" w:hAnsi="PT Astra 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firstLine="567" w:start="283" w:end="0"/>
        <w:jc w:val="start"/>
        <w:rPr/>
      </w:pPr>
      <w:r>
        <w:rPr>
          <w:rStyle w:val="Strong"/>
          <w:rFonts w:ascii="PT Astra Serif" w:hAnsi="PT Astra Serif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Некоторые методы диагностики: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283" w:leader="none"/>
        </w:tabs>
        <w:bidi w:val="0"/>
        <w:spacing w:lineRule="auto" w:line="240" w:before="0" w:after="0"/>
        <w:ind w:firstLine="284" w:start="283" w:end="0"/>
        <w:rPr/>
      </w:pP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Опрос (анкетирование)</w:t>
      </w:r>
      <w:r>
        <w:rPr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 Используются две версии анкеты: для лиц до 65 лет и 65 лет и старше. Вопросы анкеты направлены на выявление ХНИЗ, факторов их развития, признаков старческой астении (для лиц 65 лет и старше).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283" w:leader="none"/>
        </w:tabs>
        <w:bidi w:val="0"/>
        <w:spacing w:lineRule="auto" w:line="240" w:before="0" w:after="0"/>
        <w:ind w:firstLine="284" w:start="283" w:end="0"/>
        <w:rPr/>
      </w:pP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Профилактический медицинский осмотр</w:t>
      </w:r>
      <w:r>
        <w:rPr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 Проводится с целью раннего выявления патологических состояний, заболеваний и факторов риска их развития, а также для формирования групп состояния здоровья и выработки рекомендаций для пациентов.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283" w:leader="none"/>
        </w:tabs>
        <w:bidi w:val="0"/>
        <w:spacing w:lineRule="auto" w:line="240" w:before="0" w:after="0"/>
        <w:ind w:firstLine="284" w:start="283" w:end="0"/>
        <w:rPr/>
      </w:pP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Диспансерный приём</w:t>
      </w:r>
      <w:r>
        <w:rPr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 Включает оценку состояния пациента, сбор жалоб и анамнеза, физикальное обследование, назначение и оценку лабораторных, инструментальных и иных исследований, установление или уточнение диагноза заболевания (состояния).</w:t>
      </w:r>
    </w:p>
    <w:p>
      <w:pPr>
        <w:pStyle w:val="BodyText"/>
        <w:bidi w:val="0"/>
        <w:spacing w:lineRule="auto" w:line="240" w:before="0" w:after="0"/>
        <w:ind w:firstLine="510" w:start="283" w:end="57"/>
        <w:jc w:val="both"/>
        <w:rPr>
          <w:rFonts w:ascii="PT Astra Serif" w:hAnsi="PT Astra Serif"/>
          <w:b w:val="false"/>
          <w:i w:val="false"/>
          <w:caps w:val="false"/>
          <w:smallCaps w:val="false"/>
          <w:strike w:val="false"/>
          <w:dstrike w:val="false"/>
          <w:sz w:val="24"/>
          <w:szCs w:val="24"/>
          <w:u w:val="none"/>
          <w:effect w:val="none"/>
        </w:rPr>
      </w:pPr>
      <w:r>
        <w:rPr/>
      </w:r>
    </w:p>
    <w:p>
      <w:pPr>
        <w:pStyle w:val="Heading2"/>
        <w:keepNext w:val="false"/>
        <w:bidi w:val="0"/>
        <w:spacing w:lineRule="auto" w:line="240" w:before="0" w:after="0"/>
        <w:ind w:firstLine="567" w:start="283" w:end="0"/>
        <w:jc w:val="star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Профилактика</w:t>
      </w:r>
    </w:p>
    <w:p>
      <w:pPr>
        <w:pStyle w:val="BodyText"/>
        <w:keepNext w:val="false"/>
        <w:bidi w:val="0"/>
        <w:spacing w:lineRule="auto" w:line="240" w:before="0" w:after="0"/>
        <w:ind w:firstLine="567" w:start="283" w:end="0"/>
        <w:rPr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</w:pPr>
      <w:r>
        <w:rPr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Некоторые рекомендации по профилактике ХНИЗ: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283" w:leader="none"/>
        </w:tabs>
        <w:bidi w:val="0"/>
        <w:spacing w:lineRule="auto" w:line="240" w:before="0" w:after="0"/>
        <w:ind w:firstLine="284" w:start="283" w:end="0"/>
        <w:rPr/>
      </w:pP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Соблюдать принципы здорового образа жизни</w:t>
      </w:r>
      <w:r>
        <w:rPr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: употреблять пищу, богатую витаминами и минералами, избегать жирной, солёной и сладкой пищи, есть регулярно и в маленьких порциях.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283" w:leader="none"/>
        </w:tabs>
        <w:bidi w:val="0"/>
        <w:spacing w:lineRule="auto" w:line="240" w:before="0" w:after="0"/>
        <w:ind w:firstLine="284" w:start="283" w:end="0"/>
        <w:rPr/>
      </w:pP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Повышать физическую активность</w:t>
      </w:r>
      <w:r>
        <w:rPr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 — регулярные физические нагрузки умеренной интенсивности способствуют поддержанию здорового веса и улучшению метаболических процессов.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283" w:leader="none"/>
        </w:tabs>
        <w:bidi w:val="0"/>
        <w:spacing w:lineRule="auto" w:line="240" w:before="0" w:after="0"/>
        <w:ind w:firstLine="284" w:start="283" w:end="0"/>
        <w:rPr/>
      </w:pP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Отказаться от вредных привычек</w:t>
      </w:r>
      <w:r>
        <w:rPr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 — курение и употребление алкоголя вредят здоровью.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283" w:leader="none"/>
        </w:tabs>
        <w:bidi w:val="0"/>
        <w:spacing w:lineRule="auto" w:line="240" w:before="0" w:after="0"/>
        <w:ind w:firstLine="284" w:start="283" w:end="0"/>
        <w:rPr/>
      </w:pPr>
      <w:r>
        <w:rPr>
          <w:rStyle w:val="Strong"/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Регулярно проходить медицинские осмотры</w:t>
      </w:r>
      <w:r>
        <w:rPr>
          <w:rFonts w:ascii="PT Astra Serif" w:hAnsi="PT Astra Serif"/>
          <w:b w:val="false"/>
          <w:i w:val="false"/>
          <w:caps w:val="false"/>
          <w:smallCaps w:val="false"/>
          <w:sz w:val="24"/>
          <w:szCs w:val="24"/>
        </w:rPr>
        <w:t> — регулярные посещения врача помогут выявить заболевания на ранней стадии и предотвратить их развитие.</w:t>
      </w:r>
    </w:p>
    <w:p>
      <w:pPr>
        <w:pStyle w:val="BodyTextFirstIndent"/>
        <w:bidi w:val="0"/>
        <w:spacing w:lineRule="auto" w:line="240" w:before="0" w:after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FirstIndent"/>
        <w:bidi w:val="0"/>
        <w:spacing w:lineRule="auto" w:line="240" w:before="0" w:after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FirstIndent"/>
        <w:bidi w:val="0"/>
        <w:spacing w:lineRule="auto" w:line="240" w:before="0" w:after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FirstIndent"/>
        <w:bidi w:val="0"/>
        <w:spacing w:lineRule="auto" w:line="240" w:before="0" w:after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bidi w:val="0"/>
        <w:spacing w:before="0" w:after="0"/>
        <w:jc w:val="end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PT Astra Serif" w:hAnsi="PT Astra Serif"/>
          <w:i/>
          <w:iCs/>
          <w:sz w:val="24"/>
          <w:szCs w:val="24"/>
        </w:rPr>
        <w:t>О</w:t>
      </w:r>
      <w:r>
        <w:rPr>
          <w:rFonts w:cs="Times New Roman" w:ascii="PT Astra Serif" w:hAnsi="PT Astra Serif"/>
          <w:i/>
          <w:iCs/>
          <w:sz w:val="24"/>
          <w:szCs w:val="24"/>
        </w:rPr>
        <w:t xml:space="preserve">ГБУЗ «Центр общественного здоровья и медицинской </w:t>
      </w:r>
    </w:p>
    <w:p>
      <w:pPr>
        <w:pStyle w:val="Normal"/>
        <w:bidi w:val="0"/>
        <w:spacing w:before="0" w:after="0"/>
        <w:ind w:firstLine="567" w:start="284"/>
        <w:jc w:val="end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PT Astra Serif" w:hAnsi="PT Astra Serif"/>
          <w:i/>
          <w:iCs/>
          <w:sz w:val="24"/>
          <w:szCs w:val="24"/>
        </w:rPr>
        <w:t>профилактики города Старого Оскола»</w:t>
      </w:r>
    </w:p>
    <w:p>
      <w:pPr>
        <w:pStyle w:val="Normal"/>
        <w:bidi w:val="0"/>
        <w:spacing w:before="0" w:after="0"/>
        <w:ind w:firstLine="567" w:start="284"/>
        <w:jc w:val="end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PT Astra Serif" w:hAnsi="PT Astra Serif"/>
          <w:i/>
          <w:iCs/>
          <w:sz w:val="24"/>
          <w:szCs w:val="24"/>
        </w:rPr>
        <w:t>Отдел мониторинга факторов риска</w:t>
      </w:r>
    </w:p>
    <w:p>
      <w:pPr>
        <w:pStyle w:val="Normal"/>
        <w:bidi w:val="0"/>
        <w:spacing w:before="0" w:after="0"/>
        <w:ind w:firstLine="567" w:start="284"/>
        <w:jc w:val="end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PT Astra Serif" w:hAnsi="PT Astra Serif"/>
          <w:i/>
          <w:iCs/>
          <w:sz w:val="24"/>
          <w:szCs w:val="24"/>
        </w:rPr>
        <w:t>Медицинский статистик</w:t>
      </w:r>
    </w:p>
    <w:p>
      <w:pPr>
        <w:pStyle w:val="Normal"/>
        <w:bidi w:val="0"/>
        <w:spacing w:before="0" w:after="0"/>
        <w:ind w:firstLine="567" w:start="284"/>
        <w:jc w:val="end"/>
        <w:rPr>
          <w:i/>
          <w:i/>
          <w:iCs/>
        </w:rPr>
      </w:pPr>
      <w:r>
        <w:rPr>
          <w:rFonts w:cs="Times New Roman" w:ascii="PT Astra Serif" w:hAnsi="PT Astra Serif"/>
          <w:i/>
          <w:iCs/>
          <w:sz w:val="24"/>
          <w:szCs w:val="24"/>
        </w:rPr>
        <w:t xml:space="preserve"> </w:t>
      </w:r>
      <w:r>
        <w:rPr>
          <w:rFonts w:cs="Times New Roman" w:ascii="PT Astra Serif" w:hAnsi="PT Astra Serif"/>
          <w:i/>
          <w:iCs/>
          <w:sz w:val="24"/>
          <w:szCs w:val="24"/>
        </w:rPr>
        <w:t>Ефименко Наталья Александровна</w:t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none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PT Astra Serif">
    <w:charset w:val="cc" w:characterSet="windows-125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cc" w:characterSet="windows-1251"/>
    <w:family w:val="modern"/>
    <w:pitch w:val="fixed"/>
  </w:font>
  <w:font w:name="Times New Roman">
    <w:charset w:val="cc" w:characterSet="windows-1251"/>
    <w:family w:val="roman"/>
    <w:pitch w:val="default"/>
  </w:font>
  <w:font w:name="PT Astra Serif">
    <w:charset w:val="cc" w:characterSet="windows-125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LibreOffice/25.2.5.2$Windows_X86_64 LibreOffice_project/03d19516eb2e1dd5d4ccd751a0d6f35f35e08022</Application>
  <AppVersion>15.0000</AppVersion>
  <Pages>2</Pages>
  <Words>411</Words>
  <Characters>2901</Characters>
  <CharactersWithSpaces>3264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2026-01-16T12:57:00Z</dcterms:created>
  <dc:creator/>
  <dc:description/>
  <dc:language>ru-RU</dc:language>
  <cp:lastModifiedBy/>
  <cp:lastPrinted>2026-01-16T13:56:45Z</cp:lastPrinted>
  <dcterms:modified xsi:type="dcterms:W3CDTF">2026-01-16T13:57:33Z</dcterms:modified>
  <cp:revision>2</cp:revision>
  <dc:subject/>
  <dc:title>Default</dc:title>
</cp:coreProperties>
</file>